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附件7</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方正仿宋_GBK" w:hAnsi="方正仿宋_GBK" w:eastAsia="方正仿宋_GBK" w:cs="方正仿宋_GBK"/>
          <w:b/>
          <w:bCs w:val="0"/>
          <w:sz w:val="36"/>
          <w:szCs w:val="36"/>
        </w:rPr>
      </w:pPr>
      <w:r>
        <w:rPr>
          <w:rFonts w:hint="eastAsia" w:ascii="方正仿宋_GBK" w:hAnsi="方正仿宋_GBK" w:eastAsia="方正仿宋_GBK" w:cs="方正仿宋_GBK"/>
          <w:b/>
          <w:bCs w:val="0"/>
          <w:sz w:val="36"/>
          <w:szCs w:val="36"/>
        </w:rPr>
        <w:t>经营业绩考核得分加（扣）分细则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一、</w:t>
      </w:r>
      <w:r>
        <w:rPr>
          <w:rFonts w:hint="eastAsia" w:ascii="方正仿宋_GBK" w:hAnsi="方正仿宋_GBK" w:eastAsia="方正仿宋_GBK" w:cs="方正仿宋_GBK"/>
          <w:b w:val="0"/>
          <w:bCs/>
          <w:sz w:val="32"/>
          <w:szCs w:val="32"/>
        </w:rPr>
        <w:t>在年度和任期考核得分基础上，如果在考核期间企业存在以下事项，将直接对该年度或任期考核进行加分奖励，加分不受本办法中其他规定的限制，年度、任期加分合计分别不超过10分。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（一）省属企业创新工作取得重大成果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1.企业年度获得国家科学技术进步一、二、三等奖的，年度分别加4、3、2分；获得云南省科学技术进步一、二、三等奖的，年度分别加2、1、0.5分；同一奖项以获得的最高奖为准加分；任期减半计算。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2.企业年度获国家级质量奖的，年度加2分；获得省、部级质量奖的，年度加0.5—1分；同一奖项以获得的最高奖为准加分；任期减半计算。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（二）完成省委省政府、主管部门交办的重大专项任务成绩突出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1.完成省委省政府、主管部门交办的重大专项任务的，视情形年度加1—3分。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2.完成上市任务的（已纳入改革发展指标考核的除外），视情形年度加1—2分。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（三）积极开展社会参与并作出重大贡献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1.企业当年应交税费超过10亿元的，年度加1分；超过20亿元的，年度加2分；超过30亿元的，年度加3分。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2.年度国有资本经营收益上缴金额排在前3名的，年度加2分。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3.企业带动就业超过5万人及以上的，年度加1分；企业带动就业超过10万人及以上的，年度加2分；企业带动就业超过20万人及以上的，年度加3分。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4.企业在扶贫攻坚工作中成绩突出，受到省委省政府表彰的，视情形年度加1—2分。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（四）其他事项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1.企业年度党委书记抓基层党建述职评议考核综合评价意见定性为“好”的年度加5分，定性为“较好”的年度加2分；任期按任期内各年度加分算术平均值计算。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2.企业当年净资产收益率超过全国同行业优秀水平的，年度加2分；超过全国同行业优秀水平1倍以上的，年度加4分。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3.企业境内信用评级维持在AAA或原评级低于AA+，提升至AA+及以上的，年度加3—5分；任期减半计算。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4.主管部门认定的其他加分情形，视情形年度加1—5分；任期减半计算。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bookmarkStart w:id="0" w:name="_GoBack"/>
      <w:r>
        <w:rPr>
          <w:rFonts w:hint="eastAsia" w:ascii="方正仿宋_GBK" w:hAnsi="方正仿宋_GBK" w:eastAsia="方正仿宋_GBK" w:cs="方正仿宋_GBK"/>
          <w:b/>
          <w:bCs w:val="0"/>
          <w:sz w:val="32"/>
          <w:szCs w:val="32"/>
        </w:rPr>
        <w:t>二、</w:t>
      </w:r>
      <w:bookmarkEnd w:id="0"/>
      <w:r>
        <w:rPr>
          <w:rFonts w:hint="eastAsia" w:ascii="方正仿宋_GBK" w:hAnsi="方正仿宋_GBK" w:eastAsia="方正仿宋_GBK" w:cs="方正仿宋_GBK"/>
          <w:b w:val="0"/>
          <w:bCs/>
          <w:sz w:val="32"/>
          <w:szCs w:val="32"/>
        </w:rPr>
        <w:t>在年度和任期考核得分基础上，如果在考核期间企业存在以下事项，扣减该年度或任期考核得分或降级，扣分不受本办法中其他规定的限制，年度、任期扣分合计分别不超过10分。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（一）安全事故、环境事件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企业年度发生较大及以上生产安全责任事故、重大及以上生态环境事件、严重质量责任事故的，视情形年度扣1—10分或直接降低考核级别；任期减半计算。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（二）财务造假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企业违反《中华人民共和国会计法》、《企业会计准则》等有关法律、法规规章，虚报、瞒报财务状况，经认定造成重大不良影响或者国有资产损失的，视情形年度扣5—10分或直接降低考核级别；任期减半计算。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（三）综治维稳（平安建设）责任事件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企业发生重大信访、综治维稳（平安建设）责任事件，严重影响企业生产生活秩序或造成社会负面影响的，视情形年度扣1—10分或直接降低考核级别；任期减半计算。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（四）违法违纪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1.企业法定代表人或有关负责人违反国家法律法规和规章、企业章程和管理规定，造成国有资产损失的，视情形年度扣1—10分或直接降低考核级别；任期减半计算。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2.企业负责人发生重大违纪违法案件的，视情形年度扣1—10分或直接降低考核级别；任期减半计算。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（五）违规决策乱投资造成国有资产损失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企业负责人违规决策乱投资造成国有资产损失的，视情形年度扣1—10分；任期减半计算。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（六）其他事项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1.企业年度党委书记抓基层党建述职评议考核综合评价意见定性为“一般”的年度扣3分，定性为“差”的年度扣5分；任期按任期内各年度扣分算术平均值计算。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2.企业党风廉政建设考核为“基本合格”的年度扣4分，考核为“不合格”的年度扣5分；任期减半计算。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3.企业年度因农民工工资支付问题，发生突发性事件或由此而受到国家、省及省直有关部门处罚等，视情形年度扣1—10分或直接降低考核级别；任期减半计算。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4.对承担省委、省政府或省国资委、主管部门安排的重点工作任务完成较差的，视情形年度扣1—10分或直接降低考核级别；任期减半计算。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5.企业未在规定时间内足额上缴国有资本经营收益或预算数与实际上缴数差异较大的，视情形年度扣1—5分。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6.企业境内信用评级下降的年度扣3—5分；任期减半计算。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7.国有控股企业具备利润分配条件，但未进行利润分配或分配比例低于国资预算对国有独资企业规定上缴比例的，年度扣0.5—1分。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8.主管部门认定的其他扣分情形，视情形年度扣1—10分或直接降低考核级别；任期减半计算。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2612A4"/>
    <w:rsid w:val="01D80FDC"/>
    <w:rsid w:val="0638312B"/>
    <w:rsid w:val="0B413D24"/>
    <w:rsid w:val="172612A4"/>
    <w:rsid w:val="1C541AEA"/>
    <w:rsid w:val="1DEC6F72"/>
    <w:rsid w:val="269915EC"/>
    <w:rsid w:val="2CC07EE0"/>
    <w:rsid w:val="30EA7F36"/>
    <w:rsid w:val="39A14B65"/>
    <w:rsid w:val="3D435972"/>
    <w:rsid w:val="3D6F063F"/>
    <w:rsid w:val="3F415171"/>
    <w:rsid w:val="40EC0318"/>
    <w:rsid w:val="48257367"/>
    <w:rsid w:val="4F1F24F2"/>
    <w:rsid w:val="508B74EE"/>
    <w:rsid w:val="585701B7"/>
    <w:rsid w:val="588332F6"/>
    <w:rsid w:val="588C2008"/>
    <w:rsid w:val="590A4D00"/>
    <w:rsid w:val="5BA5734D"/>
    <w:rsid w:val="5C2849CF"/>
    <w:rsid w:val="64C71001"/>
    <w:rsid w:val="66425AE8"/>
    <w:rsid w:val="7A563418"/>
    <w:rsid w:val="7C465C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云南省政府国有资产监督管理委员会</Company>
  <Pages>1</Pages>
  <Words>0</Words>
  <Characters>0</Characters>
  <Lines>0</Lines>
  <Paragraphs>0</Paragraphs>
  <TotalTime>3</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2020-08-10T11:05:00Z</dcterms:created>
  <dc:creator>信息发布</dc:creator>
  <cp:lastModifiedBy>信息发布</cp:lastModifiedBy>
  <dcterms:modified xsi:type="dcterms:W3CDTF">2020-08-10T11:09:10Z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